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B" w:rsidRPr="009334F3" w:rsidRDefault="002702D0">
      <w:pPr>
        <w:rPr>
          <w:rFonts w:ascii="Arial" w:hAnsi="Arial" w:cs="Arial"/>
          <w:b/>
          <w:sz w:val="24"/>
          <w:szCs w:val="24"/>
        </w:rPr>
      </w:pPr>
      <w:r w:rsidRPr="009334F3">
        <w:rPr>
          <w:rFonts w:ascii="Arial" w:hAnsi="Arial" w:cs="Arial"/>
          <w:b/>
          <w:sz w:val="24"/>
          <w:szCs w:val="24"/>
        </w:rPr>
        <w:t>BRISTOL CITY COUNCIL</w:t>
      </w:r>
      <w:r w:rsidRPr="009334F3">
        <w:rPr>
          <w:rFonts w:ascii="Arial" w:hAnsi="Arial" w:cs="Arial"/>
          <w:b/>
          <w:sz w:val="24"/>
          <w:szCs w:val="24"/>
        </w:rPr>
        <w:tab/>
      </w:r>
      <w:r w:rsidRPr="009334F3">
        <w:rPr>
          <w:rFonts w:ascii="Arial" w:hAnsi="Arial" w:cs="Arial"/>
          <w:b/>
          <w:sz w:val="24"/>
          <w:szCs w:val="24"/>
        </w:rPr>
        <w:tab/>
      </w:r>
      <w:r w:rsidRPr="009334F3">
        <w:rPr>
          <w:rFonts w:ascii="Arial" w:hAnsi="Arial" w:cs="Arial"/>
          <w:b/>
          <w:sz w:val="24"/>
          <w:szCs w:val="24"/>
        </w:rPr>
        <w:tab/>
      </w:r>
      <w:r w:rsidRPr="009334F3">
        <w:rPr>
          <w:rFonts w:ascii="Arial" w:hAnsi="Arial" w:cs="Arial"/>
          <w:b/>
          <w:sz w:val="24"/>
          <w:szCs w:val="24"/>
        </w:rPr>
        <w:tab/>
      </w:r>
      <w:r w:rsidRPr="009334F3">
        <w:rPr>
          <w:rFonts w:ascii="Arial" w:hAnsi="Arial" w:cs="Arial"/>
          <w:b/>
          <w:sz w:val="24"/>
          <w:szCs w:val="24"/>
        </w:rPr>
        <w:tab/>
      </w:r>
      <w:r w:rsidRPr="009334F3">
        <w:rPr>
          <w:rFonts w:ascii="Arial" w:hAnsi="Arial" w:cs="Arial"/>
          <w:b/>
          <w:sz w:val="24"/>
          <w:szCs w:val="24"/>
        </w:rPr>
        <w:tab/>
      </w:r>
      <w:r w:rsidR="009E005B" w:rsidRPr="009334F3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E005B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45014D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9334F3" w:rsidRDefault="000F31CE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Senior Bristol Film Manager</w:t>
            </w:r>
          </w:p>
        </w:tc>
      </w:tr>
      <w:tr w:rsidR="00B63F05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Bristol grade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45014D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073" w:rsidRPr="009334F3" w:rsidRDefault="00174E81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BG</w:t>
            </w:r>
            <w:r w:rsidR="005B3ED6">
              <w:rPr>
                <w:rFonts w:ascii="Arial" w:hAnsi="Arial" w:cs="Arial"/>
                <w:sz w:val="24"/>
                <w:szCs w:val="24"/>
              </w:rPr>
              <w:t xml:space="preserve"> 14  </w:t>
            </w:r>
            <w:r w:rsidR="00937AB5">
              <w:rPr>
                <w:rFonts w:ascii="Arial" w:hAnsi="Arial" w:cs="Arial"/>
                <w:sz w:val="24"/>
                <w:szCs w:val="24"/>
              </w:rPr>
              <w:t xml:space="preserve">(£42,683 - £45,591) </w:t>
            </w:r>
            <w:r w:rsidR="005B3ED6">
              <w:rPr>
                <w:rFonts w:ascii="Arial" w:hAnsi="Arial" w:cs="Arial"/>
                <w:sz w:val="24"/>
                <w:szCs w:val="24"/>
              </w:rPr>
              <w:t>(12 month contract)</w:t>
            </w:r>
          </w:p>
          <w:p w:rsidR="009E005B" w:rsidRPr="0045014D" w:rsidRDefault="009E005B">
            <w:pPr>
              <w:rPr>
                <w:rFonts w:ascii="Arial" w:hAnsi="Arial" w:cs="Arial"/>
              </w:rPr>
            </w:pPr>
          </w:p>
        </w:tc>
      </w:tr>
      <w:tr w:rsidR="00B63F05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Managed by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45014D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0F31CE" w:rsidRPr="0045014D" w:rsidRDefault="002D6829">
            <w:pPr>
              <w:rPr>
                <w:rFonts w:ascii="Arial" w:hAnsi="Arial" w:cs="Arial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Head of Culture &amp; Creative Industries</w:t>
            </w:r>
          </w:p>
          <w:p w:rsidR="009E005B" w:rsidRPr="0045014D" w:rsidRDefault="009E0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F05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</w:rPr>
            </w:pPr>
          </w:p>
        </w:tc>
        <w:tc>
          <w:tcPr>
            <w:tcW w:w="6724" w:type="dxa"/>
          </w:tcPr>
          <w:p w:rsidR="00372851" w:rsidRPr="0045014D" w:rsidRDefault="00372851" w:rsidP="00BF1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0F31CE" w:rsidRPr="009334F3" w:rsidRDefault="000F31CE" w:rsidP="00BF1204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UNESCO City of Film Co-ordinator, Bristol Film Officer, </w:t>
            </w:r>
          </w:p>
          <w:p w:rsidR="0045014D" w:rsidRPr="009334F3" w:rsidRDefault="000F31CE" w:rsidP="002D6829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The Bottle Yard Studios’ </w:t>
            </w:r>
            <w:r w:rsidR="002D6829" w:rsidRPr="009334F3">
              <w:rPr>
                <w:rFonts w:ascii="Arial" w:hAnsi="Arial" w:cs="Arial"/>
                <w:sz w:val="24"/>
                <w:szCs w:val="24"/>
              </w:rPr>
              <w:t xml:space="preserve">Business Manager &amp; </w:t>
            </w:r>
            <w:r w:rsidRPr="009334F3">
              <w:rPr>
                <w:rFonts w:ascii="Arial" w:hAnsi="Arial" w:cs="Arial"/>
                <w:sz w:val="24"/>
                <w:szCs w:val="24"/>
              </w:rPr>
              <w:t>Site Co-ordinator</w:t>
            </w:r>
            <w:r w:rsidR="0045014D" w:rsidRPr="009334F3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E005B" w:rsidRPr="0045014D" w:rsidRDefault="000F31CE" w:rsidP="002D6829">
            <w:pPr>
              <w:rPr>
                <w:rFonts w:ascii="Arial" w:hAnsi="Arial" w:cs="Arial"/>
                <w:sz w:val="16"/>
                <w:szCs w:val="16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F05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45014D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9334F3" w:rsidRDefault="000F31CE" w:rsidP="0045014D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Growth </w:t>
            </w:r>
            <w:r w:rsidR="0045014D" w:rsidRPr="009334F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9334F3">
              <w:rPr>
                <w:rFonts w:ascii="Arial" w:hAnsi="Arial" w:cs="Arial"/>
                <w:sz w:val="24"/>
                <w:szCs w:val="24"/>
              </w:rPr>
              <w:t>Regeneration</w:t>
            </w:r>
          </w:p>
        </w:tc>
      </w:tr>
      <w:tr w:rsidR="009E005B" w:rsidRPr="0045014D" w:rsidTr="009E005B">
        <w:tc>
          <w:tcPr>
            <w:tcW w:w="2518" w:type="dxa"/>
          </w:tcPr>
          <w:p w:rsidR="0098295B" w:rsidRPr="0045014D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  <w:r w:rsidR="009E005B" w:rsidRPr="009334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45014D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45014D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9334F3" w:rsidRDefault="000F31CE">
            <w:p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Culture &amp; Creative Industries</w:t>
            </w:r>
          </w:p>
        </w:tc>
      </w:tr>
    </w:tbl>
    <w:p w:rsidR="009E005B" w:rsidRPr="009334F3" w:rsidRDefault="009E005B" w:rsidP="008649E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F05" w:rsidRPr="009334F3" w:rsidTr="00EE0151">
        <w:tc>
          <w:tcPr>
            <w:tcW w:w="9242" w:type="dxa"/>
            <w:shd w:val="clear" w:color="auto" w:fill="D9D9D9" w:themeFill="background1" w:themeFillShade="D9"/>
          </w:tcPr>
          <w:p w:rsidR="008649EF" w:rsidRPr="009334F3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Purpose of the job</w:t>
            </w:r>
          </w:p>
        </w:tc>
      </w:tr>
      <w:tr w:rsidR="00B63F05" w:rsidRPr="009334F3" w:rsidTr="008649EF">
        <w:tc>
          <w:tcPr>
            <w:tcW w:w="9242" w:type="dxa"/>
          </w:tcPr>
          <w:p w:rsidR="0045014D" w:rsidRPr="009334F3" w:rsidRDefault="0045014D" w:rsidP="00E10CF7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45014D" w:rsidRPr="009334F3" w:rsidRDefault="00B343DD" w:rsidP="00E10CF7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T</w:t>
            </w:r>
            <w:r w:rsidR="0045014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o</w:t>
            </w:r>
            <w:r w:rsidR="00E10CF7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oversee delivery of the Council’s filming strategy in order to promote Bristol as a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n outstanding</w:t>
            </w:r>
            <w:r w:rsidR="00E10CF7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filming location to Creative Industries, creating work for local crews, supply c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hains and partner businesses</w:t>
            </w:r>
            <w:r w:rsidR="00E10CF7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, thereby stimulating the local and regional economy. </w:t>
            </w:r>
          </w:p>
          <w:p w:rsidR="0045014D" w:rsidRPr="009334F3" w:rsidRDefault="0045014D" w:rsidP="00E10CF7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8649EF" w:rsidRPr="009334F3" w:rsidRDefault="00E10CF7" w:rsidP="00174E81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The role will include management of The Bottle Yard Studios and the Bristol Film Office in order for Bristol to maintain a </w:t>
            </w:r>
            <w:r w:rsidR="00B343D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single </w:t>
            </w: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complete and consistent offer for filming in the City.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It will also i</w:t>
            </w:r>
            <w:r w:rsidR="000F31CE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nclude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line management of the </w:t>
            </w:r>
            <w:r w:rsidR="000F31CE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UNESCO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City of Film Co-ordinator in order to ensure continued delivery of the Bristol UNESCO City of Film goals and strategic aims.</w:t>
            </w:r>
            <w:r w:rsidR="0045014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The role </w:t>
            </w:r>
            <w:r w:rsidR="0045014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will be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outward-facing and will ensure that excellent client service is consistently maintained in both studio and location settings, giving added value to clients and industry recognition as a supportive</w:t>
            </w:r>
            <w:r w:rsidR="00B343D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, pro-active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and fantastic place to film.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 There is also a strong requirement for the role to continue to raise the</w:t>
            </w:r>
            <w:r w:rsidR="002D6829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p</w:t>
            </w:r>
            <w:r w:rsidR="002D6829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rofile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of the wider Service within the Council’s </w:t>
            </w:r>
            <w:r w:rsidR="002D6829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internal </w:t>
            </w:r>
            <w:r w:rsidR="00174E81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Service areas, relevant departments and teams. </w:t>
            </w:r>
          </w:p>
          <w:p w:rsidR="0045014D" w:rsidRPr="009334F3" w:rsidRDefault="0045014D" w:rsidP="00174E81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8649EF" w:rsidRPr="009334F3" w:rsidRDefault="008649EF" w:rsidP="008649E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9EF" w:rsidRPr="009334F3" w:rsidTr="00FD709B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9EF" w:rsidRPr="009334F3" w:rsidRDefault="00FD7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t>Key job outcomes</w:t>
            </w:r>
            <w:r w:rsidR="00464CC7" w:rsidRPr="009334F3">
              <w:rPr>
                <w:rFonts w:ascii="Arial" w:hAnsi="Arial" w:cs="Arial"/>
                <w:b/>
                <w:sz w:val="24"/>
                <w:szCs w:val="24"/>
              </w:rPr>
              <w:t>/accountabilities</w:t>
            </w:r>
          </w:p>
        </w:tc>
      </w:tr>
      <w:tr w:rsidR="00FD709B" w:rsidRPr="009334F3" w:rsidTr="00FD709B">
        <w:tc>
          <w:tcPr>
            <w:tcW w:w="9242" w:type="dxa"/>
            <w:shd w:val="clear" w:color="auto" w:fill="auto"/>
          </w:tcPr>
          <w:p w:rsidR="0045014D" w:rsidRPr="009334F3" w:rsidRDefault="0045014D" w:rsidP="0045014D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F6782F" w:rsidRPr="009334F3" w:rsidRDefault="0045014D" w:rsidP="000F31CE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M</w:t>
            </w:r>
            <w:r w:rsidR="00E10CF7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aintain Bristol’s profile regionally, nationally and internationally as an established and film-friendly City</w:t>
            </w:r>
            <w:r w:rsidR="009E7510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through a joined-up and cohesive offer</w:t>
            </w:r>
            <w:r w:rsidR="00B343DD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. </w:t>
            </w:r>
          </w:p>
          <w:p w:rsidR="0045014D" w:rsidRPr="009334F3" w:rsidRDefault="0045014D" w:rsidP="0045014D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5550BF" w:rsidRPr="009334F3" w:rsidRDefault="00B3645E" w:rsidP="000F31CE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To manage The Bottle Yard Studios, including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:</w:t>
            </w: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</w:p>
          <w:p w:rsidR="0045014D" w:rsidRPr="009334F3" w:rsidRDefault="0045014D" w:rsidP="0045014D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5550BF" w:rsidRPr="009334F3" w:rsidRDefault="00B3645E" w:rsidP="009E751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attracting clients and permanent tenants in order to maximize occupancy levels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and income to the Council</w:t>
            </w:r>
            <w:r w:rsidR="00843B70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, producing profits as required</w:t>
            </w:r>
            <w:r w:rsidR="005550B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.</w:t>
            </w:r>
          </w:p>
          <w:p w:rsidR="0045014D" w:rsidRPr="009334F3" w:rsidRDefault="0045014D" w:rsidP="0045014D">
            <w:pPr>
              <w:pStyle w:val="ListParagraph"/>
              <w:widowControl w:val="0"/>
              <w:ind w:left="360"/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</w:p>
          <w:p w:rsidR="00B3645E" w:rsidRPr="009334F3" w:rsidRDefault="00B3645E" w:rsidP="009E7510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</w:pP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overseeing all </w:t>
            </w:r>
            <w:r w:rsidR="00F6782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financial, </w:t>
            </w:r>
            <w:r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administrative and operational areas of the business</w:t>
            </w:r>
            <w:r w:rsidR="00F6782F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>.</w:t>
            </w:r>
            <w:r w:rsidR="009E7510" w:rsidRPr="009334F3">
              <w:rPr>
                <w:rFonts w:ascii="Arial" w:eastAsia="Times New Roman" w:hAnsi="Arial" w:cs="Arial"/>
                <w:snapToGrid w:val="0"/>
                <w:sz w:val="24"/>
                <w:szCs w:val="24"/>
                <w:lang w:val="en-US"/>
              </w:rPr>
              <w:t xml:space="preserve"> </w:t>
            </w:r>
          </w:p>
          <w:p w:rsidR="00473AE3" w:rsidRPr="009334F3" w:rsidRDefault="00473AE3" w:rsidP="009334F3">
            <w:pPr>
              <w:widowControl w:val="0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</w:p>
        </w:tc>
      </w:tr>
    </w:tbl>
    <w:p w:rsidR="0098295B" w:rsidRPr="009334F3" w:rsidRDefault="0098295B" w:rsidP="00E40BEC">
      <w:pPr>
        <w:pStyle w:val="Heading1"/>
        <w:rPr>
          <w:sz w:val="24"/>
          <w:szCs w:val="24"/>
        </w:rPr>
        <w:sectPr w:rsidR="0098295B" w:rsidRPr="009334F3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014D" w:rsidRPr="009334F3" w:rsidTr="0045014D">
        <w:tc>
          <w:tcPr>
            <w:tcW w:w="9242" w:type="dxa"/>
            <w:shd w:val="clear" w:color="auto" w:fill="D9D9D9" w:themeFill="background1" w:themeFillShade="D9"/>
          </w:tcPr>
          <w:p w:rsidR="0045014D" w:rsidRPr="009334F3" w:rsidRDefault="0045014D" w:rsidP="005C43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3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job outcomes/accountabilities</w:t>
            </w:r>
          </w:p>
        </w:tc>
      </w:tr>
      <w:tr w:rsidR="0045014D" w:rsidRPr="009334F3" w:rsidTr="0045014D">
        <w:tc>
          <w:tcPr>
            <w:tcW w:w="9242" w:type="dxa"/>
          </w:tcPr>
          <w:p w:rsidR="0045014D" w:rsidRDefault="0045014D" w:rsidP="009829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34F3" w:rsidRPr="009334F3" w:rsidRDefault="009334F3" w:rsidP="009334F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>continuing to embed the business in the City region, with a particular focus on South Bristol, by maintaining links with business networks, community groups and education providers.</w:t>
            </w:r>
          </w:p>
          <w:p w:rsidR="009334F3" w:rsidRPr="009334F3" w:rsidRDefault="009334F3" w:rsidP="009334F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34F3" w:rsidRPr="009334F3" w:rsidRDefault="009334F3" w:rsidP="009334F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 xml:space="preserve">To manage the efficient running of the Bristol Film Office, including: </w:t>
            </w:r>
          </w:p>
          <w:p w:rsidR="0045014D" w:rsidRPr="009334F3" w:rsidRDefault="0045014D" w:rsidP="009334F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34F3" w:rsidRPr="009334F3" w:rsidRDefault="009334F3" w:rsidP="009334F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 xml:space="preserve">marketing and promoting the City as a film-friendly destination, </w:t>
            </w:r>
            <w:r w:rsidRPr="009334F3">
              <w:rPr>
                <w:rFonts w:ascii="Arial" w:hAnsi="Arial" w:cs="Arial"/>
                <w:sz w:val="24"/>
                <w:szCs w:val="24"/>
              </w:rPr>
              <w:t>and contributing to joint initiatives delivered in conjunction with other strategic partners</w:t>
            </w: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334F3" w:rsidRPr="009334F3" w:rsidRDefault="009334F3" w:rsidP="009334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34F3" w:rsidRPr="009334F3" w:rsidRDefault="009334F3" w:rsidP="009334F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overseeing the responses to a range of routine and more complex written, telephone and ‘face to face’ enquiries, ensuring excellent service throughout.</w:t>
            </w:r>
          </w:p>
          <w:p w:rsidR="009334F3" w:rsidRPr="009334F3" w:rsidRDefault="009334F3" w:rsidP="009334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334F3" w:rsidRDefault="009334F3" w:rsidP="009334F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developing the services offered through the Bristol Film Office through liaison with the film &amp; TV industry, strategic partners and </w:t>
            </w: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>internal Council teams.</w:t>
            </w:r>
          </w:p>
          <w:p w:rsidR="009334F3" w:rsidRPr="009334F3" w:rsidRDefault="009334F3" w:rsidP="009829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5014D" w:rsidRPr="009334F3" w:rsidRDefault="0045014D" w:rsidP="0045014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>To retain tight control of the budget, including regular reporting and commitment to deliver the Council’s required outputs.</w:t>
            </w:r>
          </w:p>
          <w:p w:rsidR="0045014D" w:rsidRPr="009334F3" w:rsidRDefault="0045014D" w:rsidP="0045014D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5014D" w:rsidRPr="009334F3" w:rsidRDefault="0045014D" w:rsidP="0045014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334F3">
              <w:rPr>
                <w:rFonts w:ascii="Arial" w:hAnsi="Arial" w:cs="Arial"/>
                <w:sz w:val="24"/>
                <w:szCs w:val="24"/>
              </w:rPr>
              <w:t xml:space="preserve">To manage </w:t>
            </w:r>
            <w:r w:rsidRPr="009334F3">
              <w:rPr>
                <w:rFonts w:ascii="Arial" w:hAnsi="Arial" w:cs="Arial"/>
                <w:sz w:val="24"/>
                <w:szCs w:val="24"/>
                <w:lang w:val="en-US"/>
              </w:rPr>
              <w:t>Human Resources, Health &amp; Safety compliance and other relevant areas of work with consistent co-operation with internal Council processes, departments and personnel. Training will be provided as necessary.</w:t>
            </w:r>
          </w:p>
          <w:p w:rsidR="0045014D" w:rsidRPr="009334F3" w:rsidRDefault="0045014D" w:rsidP="009829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164" w:rsidRPr="009334F3" w:rsidRDefault="00233164" w:rsidP="0098295B">
      <w:pPr>
        <w:pStyle w:val="NoSpacing"/>
        <w:rPr>
          <w:rFonts w:ascii="Arial" w:hAnsi="Arial" w:cs="Arial"/>
          <w:sz w:val="24"/>
          <w:szCs w:val="24"/>
        </w:rPr>
      </w:pPr>
    </w:p>
    <w:p w:rsidR="0098295B" w:rsidRPr="009334F3" w:rsidRDefault="0098295B" w:rsidP="0098295B">
      <w:pPr>
        <w:pStyle w:val="NoSpacing"/>
        <w:rPr>
          <w:rFonts w:ascii="Arial" w:hAnsi="Arial" w:cs="Arial"/>
          <w:sz w:val="24"/>
          <w:szCs w:val="24"/>
        </w:rPr>
      </w:pPr>
      <w:r w:rsidRPr="009334F3">
        <w:rPr>
          <w:rFonts w:ascii="Arial" w:hAnsi="Arial" w:cs="Arial"/>
          <w:sz w:val="24"/>
          <w:szCs w:val="24"/>
        </w:rPr>
        <w:t>This job description sets out the key outcomes required. It does not specify in detail the activities required to achieve these outcomes.</w:t>
      </w:r>
    </w:p>
    <w:p w:rsidR="00D67672" w:rsidRPr="009334F3" w:rsidRDefault="00D67672" w:rsidP="00B91D6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646DA" w:rsidRPr="009334F3" w:rsidTr="00693D91">
        <w:tc>
          <w:tcPr>
            <w:tcW w:w="9242" w:type="dxa"/>
            <w:shd w:val="clear" w:color="auto" w:fill="D9D9D9"/>
          </w:tcPr>
          <w:p w:rsidR="009646DA" w:rsidRPr="009334F3" w:rsidRDefault="009646DA" w:rsidP="009646D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b/>
                <w:sz w:val="24"/>
                <w:szCs w:val="24"/>
              </w:rPr>
              <w:t>General Accountabilities</w:t>
            </w:r>
          </w:p>
        </w:tc>
      </w:tr>
      <w:tr w:rsidR="009646DA" w:rsidRPr="009334F3" w:rsidTr="00693D91">
        <w:tc>
          <w:tcPr>
            <w:tcW w:w="9242" w:type="dxa"/>
            <w:shd w:val="clear" w:color="auto" w:fill="auto"/>
          </w:tcPr>
          <w:p w:rsidR="009646DA" w:rsidRPr="009334F3" w:rsidRDefault="009646DA" w:rsidP="009646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646DA" w:rsidRPr="009334F3" w:rsidRDefault="009646DA" w:rsidP="009646D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sz w:val="24"/>
                <w:szCs w:val="24"/>
              </w:rPr>
              <w:t>So far as is reasonably practicable , the post holder must ensure that safe working practices are adopted by employees and in premises/work areas for which the post holder is responsible to maintain a safe working environment for employees and service users. These are defined in the Corporate Health, Safety and Welfare Policy, departmental policies and codes of practice.</w:t>
            </w:r>
          </w:p>
          <w:p w:rsidR="009646DA" w:rsidRPr="009334F3" w:rsidRDefault="009646DA" w:rsidP="009646DA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9646DA" w:rsidRPr="009334F3" w:rsidRDefault="009646DA" w:rsidP="009646D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sz w:val="24"/>
                <w:szCs w:val="24"/>
              </w:rPr>
              <w:t>Work in compliance with the Codes of Conduct, Regulations and policies of the City Council.</w:t>
            </w:r>
          </w:p>
          <w:p w:rsidR="009646DA" w:rsidRPr="009334F3" w:rsidRDefault="009646DA" w:rsidP="009646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646DA" w:rsidRPr="009334F3" w:rsidRDefault="009646DA" w:rsidP="009646D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sz w:val="24"/>
                <w:szCs w:val="24"/>
              </w:rPr>
              <w:t>To model and promote good equalities practice and value diversity across the service.</w:t>
            </w:r>
          </w:p>
          <w:p w:rsidR="009646DA" w:rsidRPr="009334F3" w:rsidRDefault="009646DA" w:rsidP="009646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646DA" w:rsidRPr="009334F3" w:rsidRDefault="009646DA" w:rsidP="009646DA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sz w:val="24"/>
                <w:szCs w:val="24"/>
              </w:rPr>
              <w:t>Ensure that output and quality of work is of a high standard and complies with current legislation / standards.</w:t>
            </w:r>
          </w:p>
          <w:p w:rsidR="00020651" w:rsidRPr="009334F3" w:rsidRDefault="00020651" w:rsidP="0002065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20651" w:rsidRPr="009334F3" w:rsidRDefault="00020651" w:rsidP="00020651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334F3">
              <w:rPr>
                <w:rFonts w:ascii="Arial" w:eastAsia="Calibri" w:hAnsi="Arial" w:cs="Arial"/>
                <w:sz w:val="24"/>
                <w:szCs w:val="24"/>
              </w:rPr>
              <w:t>Ensure that all mandatory training is undertaken as required. For example – Bristol City Council’s Induction, Health and Safety, Equalities, Safeguarding Children and Safeguarding Adults. Please note - this is not a comprehensive list.</w:t>
            </w:r>
          </w:p>
          <w:p w:rsidR="009646DA" w:rsidRPr="009334F3" w:rsidRDefault="009646DA" w:rsidP="009646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91D61" w:rsidRPr="009334F3" w:rsidRDefault="00B91D61">
      <w:pPr>
        <w:rPr>
          <w:rFonts w:ascii="Arial" w:hAnsi="Arial" w:cs="Arial"/>
          <w:sz w:val="24"/>
          <w:szCs w:val="24"/>
        </w:rPr>
      </w:pPr>
    </w:p>
    <w:sectPr w:rsidR="00B91D61" w:rsidRPr="0093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AB" w:rsidRDefault="00C04FAB" w:rsidP="00B66E81">
      <w:pPr>
        <w:spacing w:after="0" w:line="240" w:lineRule="auto"/>
      </w:pPr>
      <w:r>
        <w:separator/>
      </w:r>
    </w:p>
  </w:endnote>
  <w:endnote w:type="continuationSeparator" w:id="0">
    <w:p w:rsidR="00C04FAB" w:rsidRDefault="00C04FAB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AB" w:rsidRDefault="00C04FAB" w:rsidP="00B66E81">
      <w:pPr>
        <w:spacing w:after="0" w:line="240" w:lineRule="auto"/>
      </w:pPr>
      <w:r>
        <w:separator/>
      </w:r>
    </w:p>
  </w:footnote>
  <w:footnote w:type="continuationSeparator" w:id="0">
    <w:p w:rsidR="00C04FAB" w:rsidRDefault="00C04FAB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91" w:rsidRDefault="003728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455599" wp14:editId="5CF1BDB3">
          <wp:simplePos x="0" y="0"/>
          <wp:positionH relativeFrom="column">
            <wp:posOffset>5753100</wp:posOffset>
          </wp:positionH>
          <wp:positionV relativeFrom="paragraph">
            <wp:posOffset>-220980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2" name="Picture 2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556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8C7004"/>
    <w:multiLevelType w:val="hybridMultilevel"/>
    <w:tmpl w:val="B15A4A6E"/>
    <w:lvl w:ilvl="0" w:tplc="D0062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56AF"/>
    <w:multiLevelType w:val="hybridMultilevel"/>
    <w:tmpl w:val="77AEDB0A"/>
    <w:lvl w:ilvl="0" w:tplc="E9029CA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A0DF7"/>
    <w:multiLevelType w:val="hybridMultilevel"/>
    <w:tmpl w:val="EEA60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6EA"/>
    <w:multiLevelType w:val="hybridMultilevel"/>
    <w:tmpl w:val="B88E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2C52"/>
    <w:multiLevelType w:val="hybridMultilevel"/>
    <w:tmpl w:val="DFBA9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098A"/>
    <w:multiLevelType w:val="hybridMultilevel"/>
    <w:tmpl w:val="54C0C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7578"/>
    <w:multiLevelType w:val="hybridMultilevel"/>
    <w:tmpl w:val="0ACA3354"/>
    <w:lvl w:ilvl="0" w:tplc="A306C4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F1105"/>
    <w:multiLevelType w:val="hybridMultilevel"/>
    <w:tmpl w:val="35FEB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45441"/>
    <w:multiLevelType w:val="hybridMultilevel"/>
    <w:tmpl w:val="1D021B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6207C"/>
    <w:multiLevelType w:val="hybridMultilevel"/>
    <w:tmpl w:val="0ED8D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bCs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20651"/>
    <w:rsid w:val="000530DE"/>
    <w:rsid w:val="000807A1"/>
    <w:rsid w:val="000F31CE"/>
    <w:rsid w:val="001656C4"/>
    <w:rsid w:val="00174E81"/>
    <w:rsid w:val="00190298"/>
    <w:rsid w:val="00233164"/>
    <w:rsid w:val="002702D0"/>
    <w:rsid w:val="002D6829"/>
    <w:rsid w:val="00323B06"/>
    <w:rsid w:val="00372851"/>
    <w:rsid w:val="003960CB"/>
    <w:rsid w:val="003A0339"/>
    <w:rsid w:val="0045014D"/>
    <w:rsid w:val="00464CC7"/>
    <w:rsid w:val="00473AE3"/>
    <w:rsid w:val="005550BF"/>
    <w:rsid w:val="00573056"/>
    <w:rsid w:val="005B3ED6"/>
    <w:rsid w:val="007B4074"/>
    <w:rsid w:val="007C514F"/>
    <w:rsid w:val="007F285D"/>
    <w:rsid w:val="00843B70"/>
    <w:rsid w:val="008649EF"/>
    <w:rsid w:val="008E4FB3"/>
    <w:rsid w:val="0090721B"/>
    <w:rsid w:val="009334F3"/>
    <w:rsid w:val="00937AB5"/>
    <w:rsid w:val="009646DA"/>
    <w:rsid w:val="00981691"/>
    <w:rsid w:val="0098295B"/>
    <w:rsid w:val="009E005B"/>
    <w:rsid w:val="009E7510"/>
    <w:rsid w:val="00AA5149"/>
    <w:rsid w:val="00B343DD"/>
    <w:rsid w:val="00B3645E"/>
    <w:rsid w:val="00B63F05"/>
    <w:rsid w:val="00B66E81"/>
    <w:rsid w:val="00B67826"/>
    <w:rsid w:val="00B76E01"/>
    <w:rsid w:val="00B919EB"/>
    <w:rsid w:val="00B91D61"/>
    <w:rsid w:val="00BF1204"/>
    <w:rsid w:val="00BF5E8C"/>
    <w:rsid w:val="00C01126"/>
    <w:rsid w:val="00C04FAB"/>
    <w:rsid w:val="00C13E25"/>
    <w:rsid w:val="00D33DF8"/>
    <w:rsid w:val="00D67672"/>
    <w:rsid w:val="00E10CF7"/>
    <w:rsid w:val="00E40BEC"/>
    <w:rsid w:val="00E92370"/>
    <w:rsid w:val="00EB47DA"/>
    <w:rsid w:val="00EE0151"/>
    <w:rsid w:val="00F33889"/>
    <w:rsid w:val="00F53073"/>
    <w:rsid w:val="00F6782F"/>
    <w:rsid w:val="00F824E1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customStyle="1" w:styleId="Heading1Char">
    <w:name w:val="Heading 1 Char"/>
    <w:basedOn w:val="DefaultParagraphFont"/>
    <w:link w:val="Heading1"/>
    <w:uiPriority w:val="9"/>
    <w:rsid w:val="00E4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1">
    <w:name w:val="Level 1"/>
    <w:basedOn w:val="Normal"/>
    <w:rsid w:val="009E7510"/>
    <w:pPr>
      <w:widowControl w:val="0"/>
      <w:numPr>
        <w:numId w:val="9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F31C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31CE"/>
    <w:rPr>
      <w:rFonts w:ascii="Arial" w:eastAsia="Times New Roman" w:hAnsi="Arial" w:cs="Times New Roman"/>
      <w:snapToGrid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customStyle="1" w:styleId="Heading1Char">
    <w:name w:val="Heading 1 Char"/>
    <w:basedOn w:val="DefaultParagraphFont"/>
    <w:link w:val="Heading1"/>
    <w:uiPriority w:val="9"/>
    <w:rsid w:val="00E4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1">
    <w:name w:val="Level 1"/>
    <w:basedOn w:val="Normal"/>
    <w:rsid w:val="009E7510"/>
    <w:pPr>
      <w:widowControl w:val="0"/>
      <w:numPr>
        <w:numId w:val="9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F31C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31CE"/>
    <w:rPr>
      <w:rFonts w:ascii="Arial" w:eastAsia="Times New Roman" w:hAnsi="Arial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Fiona Francombe</cp:lastModifiedBy>
  <cp:revision>3</cp:revision>
  <cp:lastPrinted>2016-06-06T09:15:00Z</cp:lastPrinted>
  <dcterms:created xsi:type="dcterms:W3CDTF">2020-06-22T17:44:00Z</dcterms:created>
  <dcterms:modified xsi:type="dcterms:W3CDTF">2020-06-25T15:22:00Z</dcterms:modified>
</cp:coreProperties>
</file>